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2A" w:rsidRPr="009A722A" w:rsidRDefault="00597703" w:rsidP="009A722A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ОТЧЕТ</w:t>
      </w:r>
    </w:p>
    <w:p w:rsidR="009A722A" w:rsidRPr="009A722A" w:rsidRDefault="009A722A" w:rsidP="009A722A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ОБ ИТОГАХ ГОЛОСОВАНИЯ</w:t>
      </w:r>
    </w:p>
    <w:p w:rsidR="009A722A" w:rsidRPr="009A722A" w:rsidRDefault="009A722A" w:rsidP="009A722A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ПРИ ПРИНЯТИИ РЕШЕНИЙ ОБЩИМ СОБРАНИЕМ АКЦИОНЕРОВ</w:t>
      </w:r>
    </w:p>
    <w:p w:rsidR="009A722A" w:rsidRPr="009A722A" w:rsidRDefault="009A722A" w:rsidP="009A722A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Акционерного общества "ЖБИ"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Акционерное общество "ЖБИ"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Российская Федерация, </w:t>
            </w:r>
            <w:r w:rsidRPr="009A722A">
              <w:rPr>
                <w:rFonts w:ascii="Tahoma" w:hAnsi="Tahoma" w:cs="Tahoma"/>
                <w:sz w:val="20"/>
              </w:rPr>
              <w:t>г. Курск, ул. Ольшанского, д.9</w:t>
            </w:r>
            <w:r>
              <w:rPr>
                <w:rFonts w:ascii="Tahoma" w:hAnsi="Tahoma" w:cs="Tahoma"/>
                <w:sz w:val="20"/>
              </w:rPr>
              <w:t>.  305007 г.Курск, ул.Ольшанского, д.9.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Вид заседания: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Внеочередное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Заседание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Тип заседания: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Заседание, совмещенное с заочным голосованием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10 ноября 2025 года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Дата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4 декабря 2025 года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Место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РФ, </w:t>
            </w:r>
            <w:r w:rsidRPr="009A722A">
              <w:rPr>
                <w:rFonts w:ascii="Tahoma" w:hAnsi="Tahoma" w:cs="Tahoma"/>
                <w:sz w:val="20"/>
              </w:rPr>
              <w:t xml:space="preserve">г. Курск, ул. Ольшанского, 9, офис АО «ЖБИ». 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Адрес сайта в информационно-телекоммуникационной сети «Интернет», на котором заполнялись электронные формы бюллетеней: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не применимо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не применимо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11 час. 00 мин.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Время открытия заседания: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12 час. 00 мин.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12 час. 30 мин.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Время начала подсчета голосов: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12 час. 35 мин.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Время закрытия заседания: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12 час. 40 мин.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9A722A" w:rsidP="009A722A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Асмолова Любовь Викторовна по доверенности №437 от 28.12.2023 г.</w:t>
            </w:r>
          </w:p>
        </w:tc>
      </w:tr>
      <w:tr w:rsidR="009A722A" w:rsidRPr="009A722A" w:rsidTr="009A722A">
        <w:tc>
          <w:tcPr>
            <w:tcW w:w="5771" w:type="dxa"/>
            <w:shd w:val="clear" w:color="auto" w:fill="auto"/>
          </w:tcPr>
          <w:p w:rsidR="009A722A" w:rsidRPr="009A722A" w:rsidRDefault="009A722A" w:rsidP="007C0219">
            <w:pPr>
              <w:spacing w:after="0"/>
              <w:rPr>
                <w:rFonts w:ascii="Tahoma" w:hAnsi="Tahoma" w:cs="Tahoma"/>
                <w:sz w:val="20"/>
              </w:rPr>
            </w:pPr>
            <w:r w:rsidRPr="009A722A">
              <w:rPr>
                <w:rFonts w:ascii="Tahoma" w:hAnsi="Tahoma" w:cs="Tahoma"/>
                <w:sz w:val="20"/>
              </w:rPr>
              <w:t>Дата сос</w:t>
            </w:r>
            <w:r w:rsidR="007C0219">
              <w:rPr>
                <w:rFonts w:ascii="Tahoma" w:hAnsi="Tahoma" w:cs="Tahoma"/>
                <w:sz w:val="20"/>
              </w:rPr>
              <w:t>тавления протокола собрания</w:t>
            </w:r>
          </w:p>
        </w:tc>
        <w:tc>
          <w:tcPr>
            <w:tcW w:w="4535" w:type="dxa"/>
            <w:shd w:val="clear" w:color="auto" w:fill="auto"/>
          </w:tcPr>
          <w:p w:rsidR="009A722A" w:rsidRPr="009A722A" w:rsidRDefault="007C0219" w:rsidP="009A722A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bookmarkStart w:id="0" w:name="_GoBack"/>
            <w:bookmarkEnd w:id="0"/>
            <w:r w:rsidR="009A722A" w:rsidRPr="009A722A">
              <w:rPr>
                <w:rFonts w:ascii="Tahoma" w:hAnsi="Tahoma" w:cs="Tahoma"/>
                <w:sz w:val="20"/>
              </w:rPr>
              <w:t xml:space="preserve"> декабря 2025 года</w:t>
            </w:r>
          </w:p>
        </w:tc>
      </w:tr>
    </w:tbl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В настоящем протоколе об итогах голосования термин «Положение» означает Положение Банка России "Об общих собраниях акционеров" от 16.11.2018 г. № 660-П.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Повестка дня: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1) Принятие решения о согласии на совершение крупной сделки – заключении договора купли-продажи недвижимого имущества АО «ЖБИ».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2) Выплата (объявление) дивидендов по результатам девяти месяцев 2025 года.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 xml:space="preserve"> 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Принятие решения о согласии на совершение крупной сделки – заключении договора купли-продажи недвижимого имущества АО «ЖБИ».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9A722A" w:rsidRPr="009A722A" w:rsidTr="00E304A1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16 802</w:t>
            </w:r>
          </w:p>
        </w:tc>
      </w:tr>
      <w:tr w:rsidR="009A722A" w:rsidRPr="009A722A" w:rsidTr="000B4832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16 802 </w:t>
            </w:r>
          </w:p>
        </w:tc>
      </w:tr>
      <w:tr w:rsidR="009A722A" w:rsidRPr="009A722A" w:rsidTr="00FC1800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14 513  </w:t>
            </w:r>
          </w:p>
        </w:tc>
      </w:tr>
      <w:tr w:rsidR="009A722A" w:rsidRPr="009A722A" w:rsidTr="00D44CC5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86.3766%</w:t>
            </w:r>
          </w:p>
        </w:tc>
      </w:tr>
    </w:tbl>
    <w:p w:rsidR="009A722A" w:rsidRPr="009A722A" w:rsidRDefault="009A722A" w:rsidP="009A722A">
      <w:pPr>
        <w:spacing w:after="0"/>
        <w:ind w:left="567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14 418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99.3454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95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0.6546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556FAD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14 513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РЕШЕНИЕ: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Дать согласие на заключение договора купли-продажи недвижимого имущества, в соответствии с которым продавец АО «ЖБИ» обязуется передать в собственность покупателя: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- земельный участок кадастровый номер 46:29:103031:39, Местоположение установлено относительно ориентира, расположенного в границах участка. Почтовый адрес ориентира: Курская область, г. Курск, ул. Литовская, д. 12 А, площадь 4925 кв. м. – цена продажи - 5 500 000 рублей, 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а также  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- нежилое здание, кадастровый номер 46:29:103031:191, местоположение: Курская область, г. Курск, ул. Литовская, д. 12 А, площадь 180 кв. м. – цена продажи -  1 800 000 рублей; 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- нежилое здание, кадастровый номер 46:29:103031:200, местоположение: Курская область, г. Курск, ул. Литовская, д. 12 А, площадь 367,4 кв. м. – цена продажи -  3 700 000 рублей; 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- нежилое здание, кадастровый номер 46:29:103031:217, местоположение: Курская область, г. Курск, ул. Литовская, д. 12 А, площадь 967,5 кв. м. – цена продажи -  13 800 000 рублей; 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- нежилое здание, кадастровый номер 46:29:103031:54, местоположение: Курская область, г. Курск, ул. Литовская, д. 12 А, площадь 1740,8 кв. м. – цена продажи -  17 200 000 рублей, расположенные на земельном участке кадастровый номер 46:29:103031:39, местоположение установлено относительно ориентира, расположенного в границах участка. Почтовый адрес ориентира: Курская область, г. Курск, ул. Литовская, д. 12 А.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Цена отчуждения имущества АО «ЖБИ», расположенного по адресу: Курская область, г. Курск, ул. Литовская, д. 12 А составляет 42 000 000 рублей.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Покупатель имущества АО «ЖБИ», расположенного по адресу: Курская область, г. Курск, ул. Литовская, д. 12 А к моменту получения согласия на совершение сделки не определен.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РЕШЕНИЕ ПРИНЯТО</w:t>
      </w:r>
      <w:r>
        <w:rPr>
          <w:rFonts w:ascii="Tahoma" w:hAnsi="Tahoma" w:cs="Tahoma"/>
          <w:b/>
          <w:sz w:val="20"/>
        </w:rPr>
        <w:t>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 xml:space="preserve"> 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Выплата (объявление) дивидендов по результатам девяти месяцев 2025 года.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9A722A" w:rsidRPr="009A722A" w:rsidTr="00F2649A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16 802</w:t>
            </w:r>
          </w:p>
        </w:tc>
      </w:tr>
      <w:tr w:rsidR="009A722A" w:rsidRPr="009A722A" w:rsidTr="00D37BFB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16 802 </w:t>
            </w:r>
          </w:p>
        </w:tc>
      </w:tr>
      <w:tr w:rsidR="009A722A" w:rsidRPr="009A722A" w:rsidTr="00F80C96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14 513  </w:t>
            </w:r>
          </w:p>
        </w:tc>
      </w:tr>
      <w:tr w:rsidR="009A722A" w:rsidRPr="009A722A" w:rsidTr="00E5420C">
        <w:trPr>
          <w:cantSplit/>
        </w:trPr>
        <w:tc>
          <w:tcPr>
            <w:tcW w:w="8436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86.3766%</w:t>
            </w:r>
          </w:p>
        </w:tc>
      </w:tr>
    </w:tbl>
    <w:p w:rsidR="009A722A" w:rsidRPr="009A722A" w:rsidRDefault="009A722A" w:rsidP="009A722A">
      <w:pPr>
        <w:spacing w:after="0"/>
        <w:ind w:left="567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14 513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89161F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9A722A" w:rsidRPr="009A722A" w:rsidTr="009A722A">
        <w:trPr>
          <w:cantSplit/>
        </w:trPr>
        <w:tc>
          <w:tcPr>
            <w:tcW w:w="235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14 513</w:t>
            </w:r>
          </w:p>
        </w:tc>
        <w:tc>
          <w:tcPr>
            <w:tcW w:w="3288" w:type="dxa"/>
            <w:shd w:val="clear" w:color="auto" w:fill="auto"/>
          </w:tcPr>
          <w:p w:rsidR="009A722A" w:rsidRPr="009A722A" w:rsidRDefault="009A722A" w:rsidP="009A722A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РЕШЕНИЕ: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lastRenderedPageBreak/>
        <w:t>По результатам девяти месяцев 2025 года направить на выплату дивидендов 13 441 600 рублей, выплатить дивиденды в денежной форме по обыкновенным именным бездокументарным акциям Общества в размере 800 (восемьсот) рублей на одну обыкновенную именную бездокументарную акцию Общества.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- Выплату дивидендов осуществить в безналичном порядке в срок не позднее 25 рабочих дней с даты, на которую определяются лица, имеющие право на получение дивидендов, путем перечисления денежных средств на банковские счета лицам, права которых на акции учитываются в реестре акционеров общества реквизиты которых имеются у регистратора Общества, либо при отсутствии сведений о банковских счетах, путем почтового перевода денежных средств акционерам, актуальная информация о которых, необходимая для выплаты дивидендов, внесена в реестр Общества.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9A722A">
        <w:rPr>
          <w:rFonts w:ascii="Tahoma" w:hAnsi="Tahoma" w:cs="Tahoma"/>
          <w:sz w:val="20"/>
        </w:rPr>
        <w:t>- Установить дату, на которую определяются лица, имеющие право на получение дивидендов по результатам девяти месяцев 2025 года, - 15 декабря 2025 года.</w:t>
      </w:r>
    </w:p>
    <w:p w:rsidR="009A722A" w:rsidRP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A722A" w:rsidRDefault="009A722A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>РЕШЕНИЕ ПРИНЯТО</w:t>
      </w:r>
      <w:r w:rsidR="00C3040F">
        <w:rPr>
          <w:rFonts w:ascii="Tahoma" w:hAnsi="Tahoma" w:cs="Tahoma"/>
          <w:b/>
          <w:sz w:val="20"/>
        </w:rPr>
        <w:t>.</w:t>
      </w: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597703">
      <w:pPr>
        <w:spacing w:after="0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Pr="00597703" w:rsidRDefault="00597703" w:rsidP="0059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Имена председател</w:t>
      </w: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ьствующего</w:t>
      </w: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и секретаря общего собрания:</w:t>
      </w:r>
    </w:p>
    <w:p w:rsidR="00597703" w:rsidRPr="00597703" w:rsidRDefault="00597703" w:rsidP="0059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Терновой  И.Л.,</w:t>
      </w:r>
    </w:p>
    <w:p w:rsidR="00597703" w:rsidRPr="00597703" w:rsidRDefault="00597703" w:rsidP="0059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Рудько Л.Г..</w:t>
      </w:r>
    </w:p>
    <w:p w:rsidR="00597703" w:rsidRPr="00597703" w:rsidRDefault="00597703" w:rsidP="00597703">
      <w:pPr>
        <w:rPr>
          <w:sz w:val="24"/>
          <w:szCs w:val="24"/>
        </w:rPr>
      </w:pPr>
      <w:r w:rsidRPr="00597703">
        <w:rPr>
          <w:sz w:val="24"/>
          <w:szCs w:val="24"/>
        </w:rPr>
        <w:br/>
        <w:t xml:space="preserve">Подпись </w:t>
      </w:r>
    </w:p>
    <w:p w:rsidR="00597703" w:rsidRPr="00597703" w:rsidRDefault="00597703" w:rsidP="00597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           Председатель</w:t>
      </w: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ствующий</w:t>
      </w: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собрания                                               </w:t>
      </w: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ab/>
      </w: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ab/>
        <w:t>Терновой  И.Л.</w:t>
      </w:r>
    </w:p>
    <w:p w:rsidR="00597703" w:rsidRPr="00597703" w:rsidRDefault="00597703" w:rsidP="00597703">
      <w:pPr>
        <w:spacing w:after="0"/>
        <w:ind w:left="567"/>
        <w:rPr>
          <w:rFonts w:ascii="Tahoma" w:hAnsi="Tahoma" w:cs="Tahoma"/>
          <w:b/>
          <w:sz w:val="20"/>
        </w:rPr>
      </w:pPr>
      <w:r w:rsidRPr="0059770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 w:rsidRPr="00597703">
        <w:rPr>
          <w:rFonts w:ascii="Times New Roman" w:eastAsia="Times New Roman" w:hAnsi="Times New Roman"/>
          <w:sz w:val="24"/>
          <w:szCs w:val="24"/>
          <w:lang w:eastAsia="ar-SA"/>
        </w:rPr>
        <w:t xml:space="preserve">Секретарь собрания                              </w:t>
      </w:r>
      <w:r w:rsidRPr="005977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977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977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977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Рудько Л.Г..</w:t>
      </w:r>
      <w:r w:rsidRPr="00597703">
        <w:rPr>
          <w:rFonts w:ascii="Times New Roman" w:hAnsi="Times New Roman"/>
          <w:sz w:val="24"/>
          <w:szCs w:val="24"/>
        </w:rPr>
        <w:br/>
      </w: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597703" w:rsidRPr="009A722A" w:rsidRDefault="00597703" w:rsidP="009A722A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A722A" w:rsidRPr="009A722A" w:rsidRDefault="009A722A" w:rsidP="009A722A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9A722A">
        <w:rPr>
          <w:rFonts w:ascii="Tahoma" w:hAnsi="Tahoma" w:cs="Tahoma"/>
          <w:b/>
          <w:sz w:val="20"/>
        </w:rPr>
        <w:t xml:space="preserve"> </w:t>
      </w:r>
    </w:p>
    <w:p w:rsidR="009A722A" w:rsidRPr="009A722A" w:rsidRDefault="009A722A" w:rsidP="009A722A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sectPr w:rsidR="009A722A" w:rsidRPr="009A722A" w:rsidSect="009A722A"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43" w:rsidRDefault="00B33843" w:rsidP="009A722A">
      <w:pPr>
        <w:spacing w:after="0" w:line="240" w:lineRule="auto"/>
      </w:pPr>
      <w:r>
        <w:separator/>
      </w:r>
    </w:p>
  </w:endnote>
  <w:endnote w:type="continuationSeparator" w:id="0">
    <w:p w:rsidR="00B33843" w:rsidRDefault="00B33843" w:rsidP="009A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43" w:rsidRDefault="00B33843" w:rsidP="009A722A">
      <w:pPr>
        <w:spacing w:after="0" w:line="240" w:lineRule="auto"/>
      </w:pPr>
      <w:r>
        <w:separator/>
      </w:r>
    </w:p>
  </w:footnote>
  <w:footnote w:type="continuationSeparator" w:id="0">
    <w:p w:rsidR="00B33843" w:rsidRDefault="00B33843" w:rsidP="009A7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2A"/>
    <w:rsid w:val="00125700"/>
    <w:rsid w:val="004A31E2"/>
    <w:rsid w:val="00597703"/>
    <w:rsid w:val="007C0219"/>
    <w:rsid w:val="007D62CB"/>
    <w:rsid w:val="009925F5"/>
    <w:rsid w:val="009A722A"/>
    <w:rsid w:val="00A12E82"/>
    <w:rsid w:val="00B33843"/>
    <w:rsid w:val="00BD4C4F"/>
    <w:rsid w:val="00C3040F"/>
    <w:rsid w:val="00D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1B9FAE-8425-48A2-B30F-9D467C1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22A"/>
  </w:style>
  <w:style w:type="paragraph" w:styleId="a5">
    <w:name w:val="footer"/>
    <w:basedOn w:val="a"/>
    <w:link w:val="a6"/>
    <w:uiPriority w:val="99"/>
    <w:unhideWhenUsed/>
    <w:rsid w:val="009A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Елена</dc:creator>
  <cp:keywords/>
  <dc:description/>
  <cp:lastModifiedBy>Екатерина Кравцова</cp:lastModifiedBy>
  <cp:revision>4</cp:revision>
  <dcterms:created xsi:type="dcterms:W3CDTF">2025-12-06T07:08:00Z</dcterms:created>
  <dcterms:modified xsi:type="dcterms:W3CDTF">2025-12-08T10:52:00Z</dcterms:modified>
</cp:coreProperties>
</file>